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7123FE">
        <w:rPr>
          <w:rFonts w:ascii="Times New Roman" w:hAnsi="Times New Roman" w:cs="Times New Roman"/>
          <w:sz w:val="24"/>
          <w:szCs w:val="24"/>
        </w:rPr>
        <w:t>3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7123F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7123FE">
        <w:rPr>
          <w:rFonts w:ascii="Times New Roman" w:hAnsi="Times New Roman" w:cs="Times New Roman"/>
          <w:sz w:val="24"/>
          <w:szCs w:val="24"/>
        </w:rPr>
        <w:t>3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:rsidTr="007123FE">
        <w:trPr>
          <w:trHeight w:val="241"/>
        </w:trPr>
        <w:tc>
          <w:tcPr>
            <w:tcW w:w="4786" w:type="dxa"/>
            <w:vMerge w:val="restart"/>
          </w:tcPr>
          <w:p w:rsidR="00B86FB4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:rsidTr="007123FE">
        <w:trPr>
          <w:trHeight w:val="241"/>
        </w:trPr>
        <w:tc>
          <w:tcPr>
            <w:tcW w:w="4786" w:type="dxa"/>
            <w:vMerge/>
          </w:tcPr>
          <w:p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:rsidTr="007123FE">
        <w:trPr>
          <w:trHeight w:val="241"/>
        </w:trPr>
        <w:tc>
          <w:tcPr>
            <w:tcW w:w="4786" w:type="dxa"/>
            <w:vMerge/>
          </w:tcPr>
          <w:p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7123FE">
        <w:trPr>
          <w:trHeight w:val="230"/>
        </w:trPr>
        <w:tc>
          <w:tcPr>
            <w:tcW w:w="4786" w:type="dxa"/>
            <w:vMerge w:val="restart"/>
          </w:tcPr>
          <w:p w:rsidR="00A63581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</w:t>
            </w:r>
            <w:bookmarkStart w:id="0" w:name="_GoBack"/>
            <w:bookmarkEnd w:id="0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чагов дикорастущей конопли</w:t>
            </w: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ОСХ, </w:t>
            </w:r>
            <w:proofErr w:type="spellStart"/>
            <w:proofErr w:type="gram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proofErr w:type="gram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7123FE">
        <w:trPr>
          <w:trHeight w:val="230"/>
        </w:trPr>
        <w:tc>
          <w:tcPr>
            <w:tcW w:w="4786" w:type="dxa"/>
            <w:vMerge/>
          </w:tcPr>
          <w:p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7123FE">
        <w:trPr>
          <w:trHeight w:val="230"/>
        </w:trPr>
        <w:tc>
          <w:tcPr>
            <w:tcW w:w="4786" w:type="dxa"/>
            <w:vMerge/>
          </w:tcPr>
          <w:p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:rsidR="00534FEF" w:rsidRPr="002422D7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</w:t>
            </w:r>
            <w:proofErr w:type="gramStart"/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2422D7">
              <w:rPr>
                <w:rFonts w:ascii="Times New Roman" w:hAnsi="Times New Roman" w:cs="Times New Roman"/>
                <w:sz w:val="20"/>
                <w:szCs w:val="20"/>
              </w:rPr>
              <w:t xml:space="preserve">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ОП по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Кижингин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7123FE">
        <w:trPr>
          <w:trHeight w:val="230"/>
        </w:trPr>
        <w:tc>
          <w:tcPr>
            <w:tcW w:w="478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7123FE">
        <w:trPr>
          <w:trHeight w:val="230"/>
        </w:trPr>
        <w:tc>
          <w:tcPr>
            <w:tcW w:w="478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:rsidR="00534FEF" w:rsidRPr="00534FEF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электрического освещения на улицах населённых пунктов в темное время суток в </w:t>
            </w:r>
            <w:r w:rsidRPr="0053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целях профилактики уличных преступлений</w:t>
            </w: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поселений,  ОП по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Кижингинскому району</w:t>
            </w:r>
          </w:p>
        </w:tc>
        <w:tc>
          <w:tcPr>
            <w:tcW w:w="127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7123FE">
        <w:trPr>
          <w:trHeight w:val="230"/>
        </w:trPr>
        <w:tc>
          <w:tcPr>
            <w:tcW w:w="478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7123FE">
        <w:trPr>
          <w:trHeight w:val="230"/>
        </w:trPr>
        <w:tc>
          <w:tcPr>
            <w:tcW w:w="478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7123FE">
        <w:trPr>
          <w:trHeight w:val="230"/>
        </w:trPr>
        <w:tc>
          <w:tcPr>
            <w:tcW w:w="4786" w:type="dxa"/>
            <w:vMerge w:val="restart"/>
          </w:tcPr>
          <w:p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="007123FE"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="007123FE"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:rsidTr="007123FE">
        <w:trPr>
          <w:trHeight w:val="230"/>
        </w:trPr>
        <w:tc>
          <w:tcPr>
            <w:tcW w:w="478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7123FE">
        <w:trPr>
          <w:trHeight w:val="230"/>
        </w:trPr>
        <w:tc>
          <w:tcPr>
            <w:tcW w:w="478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7123FE">
        <w:trPr>
          <w:trHeight w:val="230"/>
        </w:trPr>
        <w:tc>
          <w:tcPr>
            <w:tcW w:w="478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7123FE">
        <w:trPr>
          <w:trHeight w:val="230"/>
        </w:trPr>
        <w:tc>
          <w:tcPr>
            <w:tcW w:w="478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:rsidTr="007123FE">
        <w:trPr>
          <w:trHeight w:val="230"/>
        </w:trPr>
        <w:tc>
          <w:tcPr>
            <w:tcW w:w="4786" w:type="dxa"/>
            <w:vMerge w:val="restart"/>
          </w:tcPr>
          <w:p w:rsidR="007123FE" w:rsidRPr="008619BA" w:rsidRDefault="007123FE" w:rsidP="007123FE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:rsidR="007123FE" w:rsidRPr="00162F2B" w:rsidRDefault="007123FE" w:rsidP="007123FE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3FE" w:rsidTr="007123FE">
        <w:trPr>
          <w:trHeight w:val="230"/>
        </w:trPr>
        <w:tc>
          <w:tcPr>
            <w:tcW w:w="4786" w:type="dxa"/>
            <w:vMerge/>
          </w:tcPr>
          <w:p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:rsidTr="007123FE">
        <w:trPr>
          <w:trHeight w:val="230"/>
        </w:trPr>
        <w:tc>
          <w:tcPr>
            <w:tcW w:w="4786" w:type="dxa"/>
            <w:vMerge/>
          </w:tcPr>
          <w:p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:rsidTr="007123FE">
        <w:trPr>
          <w:trHeight w:val="230"/>
        </w:trPr>
        <w:tc>
          <w:tcPr>
            <w:tcW w:w="4786" w:type="dxa"/>
            <w:vMerge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:rsidTr="007123FE">
        <w:trPr>
          <w:trHeight w:val="230"/>
        </w:trPr>
        <w:tc>
          <w:tcPr>
            <w:tcW w:w="4786" w:type="dxa"/>
            <w:vMerge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7123FE">
        <w:trPr>
          <w:trHeight w:val="230"/>
        </w:trPr>
        <w:tc>
          <w:tcPr>
            <w:tcW w:w="4786" w:type="dxa"/>
            <w:vMerge w:val="restart"/>
          </w:tcPr>
          <w:p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</w:tcPr>
          <w:p w:rsidR="00BE06F0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:rsidTr="007123FE">
        <w:trPr>
          <w:trHeight w:val="230"/>
        </w:trPr>
        <w:tc>
          <w:tcPr>
            <w:tcW w:w="478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:rsidTr="00030548">
        <w:trPr>
          <w:trHeight w:val="248"/>
        </w:trPr>
        <w:tc>
          <w:tcPr>
            <w:tcW w:w="4957" w:type="dxa"/>
            <w:vAlign w:val="center"/>
          </w:tcPr>
          <w:p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:rsidTr="00030548">
        <w:trPr>
          <w:trHeight w:val="742"/>
        </w:trPr>
        <w:tc>
          <w:tcPr>
            <w:tcW w:w="4957" w:type="dxa"/>
            <w:vAlign w:val="center"/>
          </w:tcPr>
          <w:p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Лхасаранов Геннадий </w:t>
            </w:r>
            <w:proofErr w:type="spellStart"/>
            <w:r>
              <w:rPr>
                <w:rFonts w:ascii="Times New Roman" w:hAnsi="Times New Roman" w:cs="Times New Roman"/>
              </w:rPr>
              <w:t>Зундуевич</w:t>
            </w:r>
            <w:proofErr w:type="spellEnd"/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:rsidR="00D15FAE" w:rsidRPr="00D15FAE" w:rsidRDefault="00447DD9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8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:rsidTr="00030548">
        <w:trPr>
          <w:trHeight w:val="852"/>
        </w:trPr>
        <w:tc>
          <w:tcPr>
            <w:tcW w:w="4957" w:type="dxa"/>
            <w:vAlign w:val="center"/>
          </w:tcPr>
          <w:p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:rsidR="00030548" w:rsidRDefault="00030548" w:rsidP="00030548">
      <w:pPr>
        <w:pStyle w:val="a3"/>
        <w:rPr>
          <w:rFonts w:ascii="Times New Roman" w:hAnsi="Times New Roman" w:cs="Times New Roman"/>
        </w:rPr>
      </w:pP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lastRenderedPageBreak/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proofErr w:type="spellStart"/>
      <w:r w:rsidR="00BE06F0">
        <w:rPr>
          <w:rFonts w:ascii="Times New Roman" w:hAnsi="Times New Roman" w:cs="Times New Roman"/>
        </w:rPr>
        <w:t>Гармажапова</w:t>
      </w:r>
      <w:proofErr w:type="spellEnd"/>
      <w:r w:rsidR="00BE06F0">
        <w:rPr>
          <w:rFonts w:ascii="Times New Roman" w:hAnsi="Times New Roman" w:cs="Times New Roman"/>
        </w:rPr>
        <w:t xml:space="preserve"> Т.Б.</w:t>
      </w:r>
      <w:r w:rsidRPr="004B7339">
        <w:rPr>
          <w:rFonts w:ascii="Times New Roman" w:hAnsi="Times New Roman" w:cs="Times New Roman"/>
        </w:rPr>
        <w:t xml:space="preserve">     </w:t>
      </w:r>
    </w:p>
    <w:p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9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10"/>
      <w:headerReference w:type="first" r:id="rId11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DD9" w:rsidRDefault="00447DD9" w:rsidP="005770B2">
      <w:pPr>
        <w:spacing w:after="0" w:line="240" w:lineRule="auto"/>
      </w:pPr>
      <w:r>
        <w:separator/>
      </w:r>
    </w:p>
  </w:endnote>
  <w:endnote w:type="continuationSeparator" w:id="0">
    <w:p w:rsidR="00447DD9" w:rsidRDefault="00447DD9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DD9" w:rsidRDefault="00447DD9" w:rsidP="005770B2">
      <w:pPr>
        <w:spacing w:after="0" w:line="240" w:lineRule="auto"/>
      </w:pPr>
      <w:r>
        <w:separator/>
      </w:r>
    </w:p>
  </w:footnote>
  <w:footnote w:type="continuationSeparator" w:id="0">
    <w:p w:rsidR="00447DD9" w:rsidRDefault="00447DD9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" o:allowincell="f" stroked="f">
              <v:textbox style="layout-flow:vertical">
                <w:txbxContent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638397"/>
      <w:docPartObj>
        <w:docPartGallery w:val="Page Numbers (Margins)"/>
        <w:docPartUnique/>
      </w:docPartObj>
    </w:sdtPr>
    <w:sdtEndPr/>
    <w:sdtContent>
      <w:p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" o:allowincell="f" stroked="f">
                  <v:textbox style="layout-flow:vertical">
                    <w:txbxContent>
                      <w:p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DD9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C218B"/>
    <w:rsid w:val="006D3C0E"/>
    <w:rsid w:val="006D5F18"/>
    <w:rsid w:val="006F30F8"/>
    <w:rsid w:val="006F542E"/>
    <w:rsid w:val="007123F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5C0E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zn@govrb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pipumu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Bayanovna</cp:lastModifiedBy>
  <cp:revision>3</cp:revision>
  <cp:lastPrinted>2022-06-29T11:24:00Z</cp:lastPrinted>
  <dcterms:created xsi:type="dcterms:W3CDTF">2023-04-03T01:24:00Z</dcterms:created>
  <dcterms:modified xsi:type="dcterms:W3CDTF">2023-04-03T01:32:00Z</dcterms:modified>
</cp:coreProperties>
</file>