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0CB" w:rsidRPr="000C10CB" w:rsidRDefault="000C10CB" w:rsidP="000C10CB">
      <w:pPr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0C10CB" w:rsidRPr="000C10CB" w:rsidTr="008535C9">
        <w:tc>
          <w:tcPr>
            <w:tcW w:w="3951" w:type="dxa"/>
          </w:tcPr>
          <w:p w:rsidR="000C10CB" w:rsidRPr="000C10CB" w:rsidRDefault="000C10CB" w:rsidP="008535C9">
            <w:pPr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 xml:space="preserve">Республика Бурятия 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Глава муниципального образования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«Кижингинский район»</w:t>
            </w:r>
          </w:p>
          <w:p w:rsidR="000C10CB" w:rsidRPr="000C10CB" w:rsidRDefault="00305DCC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305DCC">
              <w:rPr>
                <w:rFonts w:ascii="Calibri" w:eastAsia="SimSun" w:hAnsi="Calibri"/>
                <w:noProof/>
                <w:sz w:val="28"/>
                <w:szCs w:val="28"/>
                <w:lang w:eastAsia="en-US"/>
              </w:rPr>
              <w:pict>
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0C10CB" w:rsidRPr="000C10CB" w:rsidRDefault="000C10CB" w:rsidP="000C10CB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0C10CB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«Хэжэнгынаймаг»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гэ</w:t>
            </w:r>
            <w:proofErr w:type="gramStart"/>
            <w:r w:rsidRPr="000C10CB">
              <w:rPr>
                <w:rFonts w:ascii="Calibri" w:hAnsi="Calibri"/>
                <w:b/>
                <w:sz w:val="28"/>
                <w:szCs w:val="28"/>
                <w:lang w:val="en-US"/>
              </w:rPr>
              <w:t>h</w:t>
            </w:r>
            <w:proofErr w:type="gramEnd"/>
            <w:r w:rsidRPr="000C10CB">
              <w:rPr>
                <w:rFonts w:ascii="Calibri" w:hAnsi="Calibri"/>
                <w:b/>
                <w:sz w:val="28"/>
                <w:szCs w:val="28"/>
              </w:rPr>
              <w:t>эн муниципальна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байгууламжынгулваа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0C10CB" w:rsidRPr="000C10CB" w:rsidTr="008535C9">
        <w:tc>
          <w:tcPr>
            <w:tcW w:w="4077" w:type="dxa"/>
            <w:gridSpan w:val="2"/>
          </w:tcPr>
          <w:p w:rsidR="000C10CB" w:rsidRPr="000C10CB" w:rsidRDefault="000C10CB" w:rsidP="000C10CB">
            <w:pPr>
              <w:jc w:val="both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0C10CB" w:rsidRDefault="000C10CB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C10C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8535C9" w:rsidRPr="000C10CB" w:rsidRDefault="008535C9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0C10CB" w:rsidRPr="00804BF4" w:rsidRDefault="000F310D" w:rsidP="008535C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“20”  июня</w:t>
      </w:r>
      <w:r w:rsidR="00804BF4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2023 г.</w:t>
      </w:r>
      <w:r w:rsidR="008535C9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№</w:t>
      </w:r>
      <w:r w:rsidR="00EB1744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226</w:t>
      </w:r>
      <w:bookmarkStart w:id="0" w:name="_GoBack"/>
      <w:bookmarkEnd w:id="0"/>
    </w:p>
    <w:p w:rsidR="000C10CB" w:rsidRPr="000C10CB" w:rsidRDefault="000C10CB" w:rsidP="000C10C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0C10CB" w:rsidRPr="000C10CB" w:rsidTr="008535C9">
        <w:trPr>
          <w:jc w:val="center"/>
        </w:trPr>
        <w:tc>
          <w:tcPr>
            <w:tcW w:w="9854" w:type="dxa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  <w:r w:rsidRPr="000C10CB">
              <w:rPr>
                <w:rFonts w:ascii="Calibri" w:eastAsia="SimSun" w:hAnsi="Calibri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8535C9" w:rsidRPr="008535C9" w:rsidRDefault="008535C9" w:rsidP="00561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выдаче предварительного разрешенияна распоряжение доходами,</w:t>
      </w:r>
    </w:p>
    <w:p w:rsidR="008535C9" w:rsidRPr="008535C9" w:rsidRDefault="008535C9" w:rsidP="00561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</w:t>
      </w:r>
      <w:r w:rsidR="00804B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инадлежащими несовершеннолетнейДугаровой Алине Иннокентьевне, 03.09.2009</w:t>
      </w:r>
      <w:r w:rsidRPr="0085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г.р.</w:t>
      </w:r>
    </w:p>
    <w:p w:rsidR="008535C9" w:rsidRPr="00B81F11" w:rsidRDefault="008535C9" w:rsidP="008535C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рассмотрев заявление опекуна</w:t>
      </w:r>
      <w:r w:rsidR="00804BF4"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Доржиевой ГениндулмыЖигмитовны, 09.10.1969 </w:t>
      </w:r>
      <w:r w:rsidR="00BD65FD">
        <w:rPr>
          <w:rFonts w:ascii="Times New Roman" w:eastAsia="Times New Roman" w:hAnsi="Times New Roman" w:cs="Times New Roman"/>
          <w:sz w:val="25"/>
          <w:szCs w:val="25"/>
          <w:lang w:eastAsia="ru-RU"/>
        </w:rPr>
        <w:t>г.р., проживающей</w:t>
      </w:r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 адресу: </w:t>
      </w:r>
      <w:proofErr w:type="gramStart"/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Кижингинский</w:t>
      </w:r>
      <w:r w:rsidR="00804BF4"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район, с. Кижинга, ул. Садовая</w:t>
      </w:r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, д.25, паспортные данные: 8</w:t>
      </w:r>
      <w:r w:rsidR="00994843"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114 592563 выдан ТП УФМС России по Республике Бурятия в Кижингинском районе  от 08.11.2014 г., код подразделения 030-024, </w:t>
      </w:r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 выдаче разрешения на распоряже</w:t>
      </w:r>
      <w:r w:rsidR="00994843"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ние доходами не</w:t>
      </w:r>
      <w:r w:rsidR="006725F2"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совершеннолетней Дугаровой Алины</w:t>
      </w:r>
      <w:r w:rsidR="00994843"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Ин</w:t>
      </w:r>
      <w:r w:rsidR="000F310D">
        <w:rPr>
          <w:rFonts w:ascii="Times New Roman" w:eastAsia="Times New Roman" w:hAnsi="Times New Roman" w:cs="Times New Roman"/>
          <w:sz w:val="25"/>
          <w:szCs w:val="25"/>
          <w:lang w:eastAsia="ru-RU"/>
        </w:rPr>
        <w:t>нокентьевны,  в размере 15000 (пятнадцать</w:t>
      </w:r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тысяч) рублей, находящимися в ПАО Сбербанк, снятие со с</w:t>
      </w:r>
      <w:r w:rsidR="00B81F11"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чета  № 42304.810.6.0916.6872193</w:t>
      </w:r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, учитывая, что имущественные права</w:t>
      </w:r>
      <w:r w:rsidR="006725F2"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интересы несовершеннолетней </w:t>
      </w:r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ущемлены</w:t>
      </w:r>
      <w:proofErr w:type="gramEnd"/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не будут, так как денежные</w:t>
      </w:r>
      <w:r w:rsidR="000F310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средства необходимы для оплаты </w:t>
      </w:r>
      <w:r w:rsidR="00BD65F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путевки МАУ СОЛ </w:t>
      </w:r>
      <w:r w:rsidR="000F310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«Хэжэнгэ»</w:t>
      </w:r>
      <w:proofErr w:type="gramStart"/>
      <w:r w:rsidR="006725F2"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р</w:t>
      </w:r>
      <w:proofErr w:type="gramEnd"/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уководствуясь ст. 37 Гражданского кодекса Российской Федерации, ст. 60 Семейного Кодекса Российской Федерации, ст. 19 Федерального закона от 24.04.2008 г., № 48-ФЗ «Об опеке и попечительстве»,</w:t>
      </w:r>
    </w:p>
    <w:p w:rsidR="008535C9" w:rsidRPr="00B81F11" w:rsidRDefault="00296126" w:rsidP="008535C9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Разрешить  опекуну Доржие</w:t>
      </w:r>
      <w:r w:rsidR="00C7775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ой ГениндулмеЖигмитовне</w:t>
      </w:r>
      <w:r w:rsidR="008535C9"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распорядиться доходами</w:t>
      </w:r>
      <w:r w:rsidR="000F310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 размере 15000 (пятнадцать </w:t>
      </w:r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тысяч) рублей</w:t>
      </w:r>
      <w:r w:rsidR="008535C9"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, находящимися в ПАО Сбербанк, на счете №</w:t>
      </w:r>
      <w:r w:rsidR="00B81F11"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42304.810.6.0916.6872193</w:t>
      </w:r>
      <w:r w:rsidR="008535C9"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</w:p>
    <w:p w:rsidR="008535C9" w:rsidRPr="00B81F11" w:rsidRDefault="008535C9" w:rsidP="008535C9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Обязать </w:t>
      </w:r>
      <w:r w:rsidR="00296126"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Доржиеву ГениндулмуЖигмитовну</w:t>
      </w:r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в 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 документов (копий</w:t>
      </w:r>
      <w:r w:rsidR="00561B5A"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кассовых чеков,</w:t>
      </w:r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товарных счетов, квитанций об уплате налогов, страховых сумм и других платежных документов).</w:t>
      </w:r>
    </w:p>
    <w:p w:rsidR="008535C9" w:rsidRPr="00B81F11" w:rsidRDefault="008535C9" w:rsidP="008535C9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Контроль за</w:t>
      </w:r>
      <w:proofErr w:type="gramEnd"/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исполнением настоящего Распоряжения возложить на главного специалиста по опеке и попечительству Жамсуеву Н.Д. и </w:t>
      </w:r>
      <w:r w:rsidRPr="00B81F11">
        <w:rPr>
          <w:rFonts w:ascii="Times New Roman" w:eastAsia="Times New Roman" w:hAnsi="Times New Roman" w:cs="Times New Roman"/>
          <w:color w:val="000000"/>
          <w:spacing w:val="-1"/>
          <w:sz w:val="25"/>
          <w:szCs w:val="25"/>
          <w:lang w:eastAsia="ru-RU"/>
        </w:rPr>
        <w:t>заместителя руководителя по социальным вопросам администрации МО «Кижингинский район» Эрдынееву И. И.</w:t>
      </w:r>
    </w:p>
    <w:p w:rsidR="008535C9" w:rsidRPr="00B81F11" w:rsidRDefault="008535C9" w:rsidP="008535C9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81F11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разрешение выдается на срок 1 (один) месяц.</w:t>
      </w:r>
    </w:p>
    <w:p w:rsidR="00561B5A" w:rsidRPr="00B81F11" w:rsidRDefault="00561B5A" w:rsidP="00561B5A">
      <w:pPr>
        <w:spacing w:after="0" w:line="240" w:lineRule="auto"/>
        <w:ind w:left="71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5C9" w:rsidRPr="00B81F11" w:rsidRDefault="008535C9" w:rsidP="008535C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26622" w:rsidRDefault="0082662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муниципального образования</w:t>
      </w:r>
    </w:p>
    <w:p w:rsidR="00E10D0D" w:rsidRPr="00561B5A" w:rsidRDefault="008535C9">
      <w:pPr>
        <w:rPr>
          <w:sz w:val="24"/>
          <w:szCs w:val="24"/>
        </w:rPr>
      </w:pPr>
      <w:r w:rsidRPr="008535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«Кижингинский район»                      </w:t>
      </w:r>
      <w:r w:rsidR="0056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З. Лхасаранов</w:t>
      </w:r>
    </w:p>
    <w:sectPr w:rsidR="00E10D0D" w:rsidRPr="00561B5A" w:rsidSect="00305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229"/>
    <w:rsid w:val="000032C9"/>
    <w:rsid w:val="000C10CB"/>
    <w:rsid w:val="000F310D"/>
    <w:rsid w:val="001008C8"/>
    <w:rsid w:val="00296126"/>
    <w:rsid w:val="00305DCC"/>
    <w:rsid w:val="0039409D"/>
    <w:rsid w:val="00561B5A"/>
    <w:rsid w:val="0059054C"/>
    <w:rsid w:val="006725F2"/>
    <w:rsid w:val="006E1801"/>
    <w:rsid w:val="007A66B3"/>
    <w:rsid w:val="00804BF4"/>
    <w:rsid w:val="00826622"/>
    <w:rsid w:val="008535C9"/>
    <w:rsid w:val="009246D3"/>
    <w:rsid w:val="00994843"/>
    <w:rsid w:val="00B81F11"/>
    <w:rsid w:val="00BD65FD"/>
    <w:rsid w:val="00C7775A"/>
    <w:rsid w:val="00E10D0D"/>
    <w:rsid w:val="00E70229"/>
    <w:rsid w:val="00EB1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2023-06-20T02:32:00Z</cp:lastPrinted>
  <dcterms:created xsi:type="dcterms:W3CDTF">2023-06-20T06:33:00Z</dcterms:created>
  <dcterms:modified xsi:type="dcterms:W3CDTF">2023-06-20T06:33:00Z</dcterms:modified>
</cp:coreProperties>
</file>